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258 vom 30. August 1982</w:t>
      </w:r>
    </w:p>
    <w:p>
      <w:r>
        <w:t>Bundesgericht (BGE), 1982-08-30, DE</w:t>
      </w:r>
    </w:p>
    <w:p>
      <w:r>
        <w:rPr>
          <w:b/>
        </w:rPr>
        <w:t xml:space="preserve">Quelle: </w:t>
      </w:r>
      <w:r>
        <w:t>https://mcp.opencaselaw.ch/entscheid/bge_108 IB 258</w:t>
      </w:r>
    </w:p>
    <w:p>
      <w:r>
        <w:t>FR: BGE 108 IB 258 du 30 août 1982</w:t>
      </w:r>
    </w:p>
    <w:p>
      <w:r>
        <w:t>IT: BGE 108 IB 258 del 30 agosto 1982</w:t>
      </w:r>
    </w:p>
    <w:p>
      <w:pPr>
        <w:pStyle w:val="Heading2"/>
      </w:pPr>
      <w:r>
        <w:t>Regeste</w:t>
      </w:r>
    </w:p>
    <w:p>
      <w:r>
        <w:t>Regeste Strassenverkehr - Führerausweisentzug (Art. 16 Abs. 2 und 3 SVG, Art. 33 Abs. 2 VZV). Werden durch eine Handlung mehrere in Art. 16 Abs. 2 und 3 SVG enthaltene Entzugsgründe gesetzt, sind bei der Bestimmung der Gesamtentzugsdauer die Konkurrenzbestimmungen des Strafrechts (Art. 68 StGB) analog anwendbar.</w:t>
      </w:r>
    </w:p>
    <w:p>
      <w:pPr>
        <w:pStyle w:val="Heading2"/>
      </w:pPr>
      <w:r>
        <w:t>Erwägungen</w:t>
      </w:r>
    </w:p>
    <w:p>
      <w:r>
        <w:rPr>
          <w:b/>
        </w:rPr>
        <w:t>E. 2</w:t>
      </w:r>
    </w:p>
    <w:p>
      <w:r>
        <w:t>Nach Art. 17 Abs. 1 lit. b SVG beträgt die Dauer des Führerausweisentzuges mindestens zwei Monate, wenn der Führer in angetrunkenem Zustand gefahren ist; im übrigen ist sie nach den Umständen festzusetzen, wobei ihre Bestimmung Sache der kantonalen Behörde ist, die in dieser Beziehung über einen Spielraum des Ermessens verfügt. Dabei sind bei einem Warnungsentzug für die Bemessung der Dauer die Kriterien gemäss Art. 33 Abs. 2 VZV zu berücksichtigen: Schwere des Verschuldens, Leumund des Motorfahrzeugführers sowie berufliche Notwendigkeit, ein Motorfahrzeug zu führen ( BGE 105 Ib 207 E. 2a). a) Die Vorinstanz war der Auffassung, die verfügte Entzugsdauer von zwei Monaten würde der gesetzlichen Mindestentzugsdauer wegen Fahrens in angetrunkenem Zustand ( Art. 17 Abs. 1 lit. b SVG ) entsprechen. Damit sei allen Umständen des Falles angemessen Beachtung geschenkt worden, weshalb die Entzugsdauer nicht herabgesetzt werden könne. Dieser Auffassung kann nicht gefolgt werden. Für einen Warnungsentzug werden die Entzugsgründe in Art. 16 Abs. 2 und 3 SVG aufgezählt. Werden nun durch eine Handlung mehrere in Art. 16 Abs. 2 und 3 SVG enthaltene Entzugsgründe gesetzt, wäre es stossend, wenn für jeden dieser Gründe die Entzugsdauer gesondert bestimmt und dann die Summe dieser Einzelbeurteilungen die Gesamtentzugsdauer ergeben würde. Dies vor allem deshalb, weil bei jeder Einzelbeurteilung von der Mindestentzugsdauer ausgegangen und somit eine Prüfung der übrigen in Art. 33 Abs. 2 VZV geforderten Voraussetzungen leicht umgangen werden könnte. Mangels einer gesetzlichen Regelung BGE 108 Ib 258 S. 260 drängt sich in einem solchen Falle die analoge Anwendung der Konkurrenzbestimmungen des Strafrechts ( Art. 68 StGB ) auf. Demnach ist bei der Bestimmung der Gesamtentzugsdauer des Führerausweises von der schwersten Verfehlung unter Beachtung der Mindestentzugsdauer gemäss Art. 17 Abs. 1 SVG auszugehen. Die weiteren gesetzten Entzugsgründe sind - unter dem Aspekt des Verschuldens - bei der Anwendung von Art. 33 Abs. 2 VZV angemessen zu berücksichtigen. Die gleichen Überlegungen müssen auch dann gelten, wenn - wie im vorliegenden Fall - für die Abklärung eines Teils der durch eine Handlung gesetzten Entzugsgründe das Strafverfahren abgewartet und erst ein Teilentzug ausgesprochen wird. Der Betroffene darf in diesem Falle nicht schlechter gestellt werden, als wenn die mehreren Entzugsgründe gleichzeitig beurteilt worden wären. Die kantonalen Instanzen haben eine derartige Gesamtwürdigung im vorliegenden Fall offensichtlich unterlassen. Sie sind einfach davon ausgegangen, dass bei Fahren in angetrunkenem Zustand der Führerausweis nach Gesetz mindestens für zwei Monate entzogen werden müsse. Damit haben sie Bundesrecht verletzt. b) Da die Festsetzung der Dauer eines Warnungsentzuges im Ermessen der kantonalen Behörden liegt, ist die Sache zur Neufestsetzung der Entzugsdauer an die Vorinstanz zurückzuweisen ( BGE 104 Ib 99 E. 4). Dabei muss (im Sinne von Erwägung 2a) geprüft werden, ob unter Würdigung aller Umstände für die Gesamtheit des fehlerhaften Verhaltens vom 22. November 1980 (unter Einschluss des Fahrens in angetrunkenem Zustand) eine die bereits vollzogene Entzugsdauer von acht Monaten überschreitende Massnahme angemessen erscheint. Ein neuer zusätzlicher Entzug hat nur zu erfolgen, sofern diese Frage unter Berücksichtigung von Art. 33 Abs. 2 VZV bejaht werden muss. Die zusätzliche Entzugsdauer kann gegebenenfalls ein oder zwei Monate betragen ( Art. 114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